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1FC" w:rsidRDefault="00B371FC" w:rsidP="00202242">
      <w:pPr>
        <w:spacing w:line="240" w:lineRule="auto"/>
        <w:jc w:val="center"/>
        <w:rPr>
          <w:b/>
        </w:rPr>
      </w:pPr>
      <w:r w:rsidRPr="00B371FC">
        <w:rPr>
          <w:b/>
        </w:rPr>
        <w:t>Доклад</w:t>
      </w:r>
    </w:p>
    <w:p w:rsidR="0090665A" w:rsidRPr="00B371FC" w:rsidRDefault="00B371FC" w:rsidP="00202242">
      <w:pPr>
        <w:spacing w:line="240" w:lineRule="auto"/>
        <w:jc w:val="center"/>
        <w:rPr>
          <w:b/>
        </w:rPr>
      </w:pPr>
      <w:r>
        <w:rPr>
          <w:b/>
        </w:rPr>
        <w:t xml:space="preserve">по теме: </w:t>
      </w:r>
      <w:r w:rsidRPr="00B371FC">
        <w:rPr>
          <w:b/>
        </w:rPr>
        <w:t>«Соблюдение обязательных требований промышленной безопасности при эксплуатации самоходных подъемных сооружений (автомобильных кранов, подъемников, кранов-манипуляторов), в том числе при проведении работ на территории строительных объектов»</w:t>
      </w:r>
    </w:p>
    <w:p w:rsidR="00B371FC" w:rsidRDefault="00B371FC" w:rsidP="00B371FC">
      <w:pPr>
        <w:jc w:val="center"/>
      </w:pPr>
    </w:p>
    <w:p w:rsidR="00B371FC" w:rsidRDefault="00B371FC" w:rsidP="00485FCD">
      <w:pPr>
        <w:spacing w:line="240" w:lineRule="auto"/>
        <w:jc w:val="both"/>
      </w:pPr>
      <w:proofErr w:type="gramStart"/>
      <w:r w:rsidRPr="00B371FC">
        <w:t>Федеральный закон от 21 июля 1997 г. № 116-ФЗ «О промышленной безопасности опасных производственных объектов»</w:t>
      </w:r>
      <w:r>
        <w:t xml:space="preserve"> (далее - </w:t>
      </w:r>
      <w:r w:rsidRPr="00B371FC">
        <w:t>Федеральный закон от 21 июля 1997 г. № 116-ФЗ</w:t>
      </w:r>
      <w:r>
        <w:t xml:space="preserve">) </w:t>
      </w:r>
      <w:r w:rsidRPr="00B371FC">
        <w:t xml:space="preserve">определяет правовые, экономические и социальные основы обеспечения безопасной эксплуатации опасных производственных объектов </w:t>
      </w:r>
      <w:r>
        <w:t xml:space="preserve">(далее – ОПО) </w:t>
      </w:r>
      <w:r w:rsidRPr="00B371FC">
        <w:t xml:space="preserve">и направлен на предупреждение аварий на </w:t>
      </w:r>
      <w:r>
        <w:t>ОПО</w:t>
      </w:r>
      <w:r w:rsidRPr="00B371FC">
        <w:t xml:space="preserve"> и обеспечение готовности эксплуатирующих </w:t>
      </w:r>
      <w:r>
        <w:t>ОПО</w:t>
      </w:r>
      <w:r w:rsidRPr="00B371FC">
        <w:t xml:space="preserve"> </w:t>
      </w:r>
      <w:r w:rsidRPr="00B371FC">
        <w:rPr>
          <w:bCs/>
          <w:iCs/>
        </w:rPr>
        <w:t>юридических лиц и индивидуальных предпринимателей</w:t>
      </w:r>
      <w:r w:rsidRPr="00B371FC">
        <w:t xml:space="preserve"> к локализации и ликвидации последствий указанных</w:t>
      </w:r>
      <w:proofErr w:type="gramEnd"/>
      <w:r w:rsidRPr="00B371FC">
        <w:t xml:space="preserve"> аварий.</w:t>
      </w:r>
    </w:p>
    <w:p w:rsidR="00B371FC" w:rsidRDefault="00B371FC" w:rsidP="00485FCD">
      <w:pPr>
        <w:spacing w:line="240" w:lineRule="auto"/>
        <w:jc w:val="both"/>
      </w:pPr>
      <w:r w:rsidRPr="00B371FC">
        <w:t>Федеральны</w:t>
      </w:r>
      <w:r w:rsidR="00207BAD">
        <w:t>м</w:t>
      </w:r>
      <w:r w:rsidRPr="00B371FC">
        <w:t xml:space="preserve"> закон</w:t>
      </w:r>
      <w:r w:rsidR="00207BAD">
        <w:t>ом</w:t>
      </w:r>
      <w:r w:rsidRPr="00B371FC">
        <w:t xml:space="preserve"> от 21 июля 1997 г. № 116-ФЗ</w:t>
      </w:r>
      <w:r>
        <w:t xml:space="preserve"> возможность эксплуатации </w:t>
      </w:r>
      <w:r w:rsidR="00741038">
        <w:t xml:space="preserve">ОПО </w:t>
      </w:r>
      <w:r>
        <w:t>физическими лицами</w:t>
      </w:r>
      <w:r w:rsidR="00207BAD" w:rsidRPr="00207BAD">
        <w:t xml:space="preserve"> </w:t>
      </w:r>
      <w:r w:rsidR="00207BAD">
        <w:t>не предусм</w:t>
      </w:r>
      <w:r w:rsidR="00207BAD">
        <w:t>отрена.</w:t>
      </w:r>
    </w:p>
    <w:p w:rsidR="00B371FC" w:rsidRPr="00B371FC" w:rsidRDefault="00B371FC" w:rsidP="00485FCD">
      <w:pPr>
        <w:spacing w:line="240" w:lineRule="auto"/>
        <w:jc w:val="both"/>
      </w:pPr>
      <w:r w:rsidRPr="00B371FC">
        <w:t xml:space="preserve">В государственном реестре зарегистрировано </w:t>
      </w:r>
      <w:r w:rsidRPr="00B371FC">
        <w:rPr>
          <w:b/>
          <w:bCs/>
        </w:rPr>
        <w:t>3027</w:t>
      </w:r>
      <w:r w:rsidRPr="00B371FC">
        <w:t xml:space="preserve"> </w:t>
      </w:r>
      <w:r w:rsidR="00741038">
        <w:t xml:space="preserve">ОПО </w:t>
      </w:r>
      <w:r w:rsidRPr="00B371FC">
        <w:t xml:space="preserve">с </w:t>
      </w:r>
      <w:r>
        <w:t>подъемными сооружениями</w:t>
      </w:r>
      <w:r w:rsidR="00741038">
        <w:t xml:space="preserve"> (далее – ПС)</w:t>
      </w:r>
      <w:r w:rsidRPr="00B371FC">
        <w:t xml:space="preserve">, </w:t>
      </w:r>
      <w:proofErr w:type="gramStart"/>
      <w:r w:rsidRPr="00B371FC">
        <w:t>эксплуатируемых</w:t>
      </w:r>
      <w:proofErr w:type="gramEnd"/>
      <w:r w:rsidRPr="00B371FC">
        <w:t xml:space="preserve"> предприятиями на территории</w:t>
      </w:r>
      <w:r>
        <w:t xml:space="preserve"> </w:t>
      </w:r>
      <w:r w:rsidRPr="00B371FC">
        <w:t xml:space="preserve"> Уральского управления Ростехнадзора (Свердловская, Челябинская и Курганская области)</w:t>
      </w:r>
      <w:r>
        <w:t>.</w:t>
      </w:r>
      <w:bookmarkStart w:id="0" w:name="_GoBack"/>
      <w:bookmarkEnd w:id="0"/>
    </w:p>
    <w:p w:rsidR="00B371FC" w:rsidRPr="00B371FC" w:rsidRDefault="00B371FC" w:rsidP="00485FCD">
      <w:pPr>
        <w:spacing w:line="240" w:lineRule="auto"/>
        <w:jc w:val="both"/>
      </w:pPr>
      <w:r w:rsidRPr="00B371FC">
        <w:t xml:space="preserve">В </w:t>
      </w:r>
      <w:r w:rsidRPr="00741038">
        <w:t xml:space="preserve">состав </w:t>
      </w:r>
      <w:proofErr w:type="gramStart"/>
      <w:r w:rsidR="00207BAD">
        <w:t>зарегистрированных</w:t>
      </w:r>
      <w:proofErr w:type="gramEnd"/>
      <w:r w:rsidR="00207BAD">
        <w:t xml:space="preserve"> в государственном реестре </w:t>
      </w:r>
      <w:r w:rsidRPr="00741038">
        <w:t>ОПО с ПС</w:t>
      </w:r>
      <w:r w:rsidRPr="00B371FC">
        <w:t xml:space="preserve"> входят:</w:t>
      </w:r>
    </w:p>
    <w:p w:rsidR="00000000" w:rsidRPr="00B371FC" w:rsidRDefault="00485FCD" w:rsidP="00485FCD">
      <w:pPr>
        <w:numPr>
          <w:ilvl w:val="0"/>
          <w:numId w:val="1"/>
        </w:numPr>
        <w:spacing w:line="240" w:lineRule="auto"/>
        <w:jc w:val="both"/>
      </w:pPr>
      <w:r w:rsidRPr="00B371FC">
        <w:rPr>
          <w:b/>
          <w:bCs/>
        </w:rPr>
        <w:t>4438</w:t>
      </w:r>
      <w:r w:rsidRPr="00B371FC">
        <w:t xml:space="preserve"> автокрана</w:t>
      </w:r>
      <w:r w:rsidR="00B371FC">
        <w:t>;</w:t>
      </w:r>
    </w:p>
    <w:p w:rsidR="00000000" w:rsidRPr="00B371FC" w:rsidRDefault="00485FCD" w:rsidP="00485FCD">
      <w:pPr>
        <w:numPr>
          <w:ilvl w:val="0"/>
          <w:numId w:val="1"/>
        </w:numPr>
        <w:spacing w:line="240" w:lineRule="auto"/>
        <w:jc w:val="both"/>
      </w:pPr>
      <w:r w:rsidRPr="00B371FC">
        <w:rPr>
          <w:b/>
          <w:bCs/>
        </w:rPr>
        <w:t>744</w:t>
      </w:r>
      <w:r w:rsidRPr="00B371FC">
        <w:t xml:space="preserve"> крана-манипулятора</w:t>
      </w:r>
      <w:r w:rsidR="00B371FC">
        <w:t>;</w:t>
      </w:r>
    </w:p>
    <w:p w:rsidR="00000000" w:rsidRDefault="00485FCD" w:rsidP="00485FCD">
      <w:pPr>
        <w:numPr>
          <w:ilvl w:val="0"/>
          <w:numId w:val="1"/>
        </w:numPr>
        <w:spacing w:line="240" w:lineRule="auto"/>
        <w:jc w:val="both"/>
      </w:pPr>
      <w:r w:rsidRPr="00B371FC">
        <w:rPr>
          <w:b/>
          <w:bCs/>
        </w:rPr>
        <w:t>2050</w:t>
      </w:r>
      <w:r w:rsidRPr="00B371FC">
        <w:t xml:space="preserve"> </w:t>
      </w:r>
      <w:proofErr w:type="gramStart"/>
      <w:r w:rsidRPr="00B371FC">
        <w:t>автомобильных</w:t>
      </w:r>
      <w:proofErr w:type="gramEnd"/>
      <w:r w:rsidRPr="00B371FC">
        <w:t xml:space="preserve"> подъемника</w:t>
      </w:r>
      <w:r w:rsidR="00B371FC">
        <w:t>.</w:t>
      </w:r>
    </w:p>
    <w:p w:rsidR="00B371FC" w:rsidRPr="00B371FC" w:rsidRDefault="00B371FC" w:rsidP="00485FCD">
      <w:pPr>
        <w:spacing w:line="240" w:lineRule="auto"/>
        <w:jc w:val="both"/>
      </w:pPr>
      <w:r w:rsidRPr="00B371FC">
        <w:t xml:space="preserve">В последнее время на территории, поднадзорной Уральскому управлению Ростехнадзора, количество случаев аварий и несчастных случаев с использованием </w:t>
      </w:r>
      <w:r w:rsidR="00741038">
        <w:t xml:space="preserve">тех же </w:t>
      </w:r>
      <w:r w:rsidRPr="00B371FC">
        <w:t xml:space="preserve">кранов-манипуляторов значительно увеличилось. </w:t>
      </w:r>
    </w:p>
    <w:p w:rsidR="00B371FC" w:rsidRPr="00B371FC" w:rsidRDefault="00B371FC" w:rsidP="00485FCD">
      <w:pPr>
        <w:spacing w:line="240" w:lineRule="auto"/>
        <w:jc w:val="both"/>
      </w:pPr>
      <w:r w:rsidRPr="00B371FC">
        <w:t>Только в течение 11 месяцев на поднадзорных Управлению предприятиях при эксплуатации кранов-манипуляторов произошли:</w:t>
      </w:r>
    </w:p>
    <w:p w:rsidR="00000000" w:rsidRPr="00B371FC" w:rsidRDefault="00485FCD" w:rsidP="00485FCD">
      <w:pPr>
        <w:numPr>
          <w:ilvl w:val="0"/>
          <w:numId w:val="2"/>
        </w:numPr>
        <w:spacing w:line="240" w:lineRule="auto"/>
        <w:jc w:val="both"/>
      </w:pPr>
      <w:r w:rsidRPr="00B371FC">
        <w:t>2 несчастных случая с</w:t>
      </w:r>
      <w:r w:rsidRPr="00B371FC">
        <w:t>о смертельным исходом</w:t>
      </w:r>
      <w:r w:rsidR="00B371FC">
        <w:t>;</w:t>
      </w:r>
    </w:p>
    <w:p w:rsidR="00000000" w:rsidRPr="00B371FC" w:rsidRDefault="00485FCD" w:rsidP="00485FCD">
      <w:pPr>
        <w:numPr>
          <w:ilvl w:val="0"/>
          <w:numId w:val="2"/>
        </w:numPr>
        <w:spacing w:line="240" w:lineRule="auto"/>
        <w:jc w:val="both"/>
      </w:pPr>
      <w:r w:rsidRPr="00B371FC">
        <w:t>1 авария с групповым несчастным случаем</w:t>
      </w:r>
      <w:r w:rsidR="00B371FC">
        <w:t>;</w:t>
      </w:r>
    </w:p>
    <w:p w:rsidR="00000000" w:rsidRPr="00B371FC" w:rsidRDefault="00485FCD" w:rsidP="00485FCD">
      <w:pPr>
        <w:numPr>
          <w:ilvl w:val="0"/>
          <w:numId w:val="2"/>
        </w:numPr>
        <w:spacing w:line="240" w:lineRule="auto"/>
        <w:jc w:val="both"/>
      </w:pPr>
      <w:r w:rsidRPr="00B371FC">
        <w:t>1 групповой несчастный случай, в результате которого два работника</w:t>
      </w:r>
      <w:r w:rsidRPr="00B371FC">
        <w:t xml:space="preserve"> получили смертельные травмы</w:t>
      </w:r>
      <w:r w:rsidR="00B371FC">
        <w:t>;</w:t>
      </w:r>
    </w:p>
    <w:p w:rsidR="00000000" w:rsidRPr="00B371FC" w:rsidRDefault="00485FCD" w:rsidP="00485FCD">
      <w:pPr>
        <w:numPr>
          <w:ilvl w:val="0"/>
          <w:numId w:val="2"/>
        </w:numPr>
        <w:spacing w:line="240" w:lineRule="auto"/>
        <w:jc w:val="both"/>
      </w:pPr>
      <w:r w:rsidRPr="00B371FC">
        <w:t>1 тяжелый несчастный случай</w:t>
      </w:r>
      <w:r w:rsidR="00B371FC">
        <w:t>.</w:t>
      </w:r>
    </w:p>
    <w:p w:rsidR="00B371FC" w:rsidRPr="00B371FC" w:rsidRDefault="00B371FC" w:rsidP="00485FCD">
      <w:pPr>
        <w:spacing w:line="240" w:lineRule="auto"/>
        <w:jc w:val="both"/>
      </w:pPr>
      <w:r w:rsidRPr="00B371FC">
        <w:t>Как показывают результаты расследования аварий и несчастных случаев с использованием кранов-манипуляторов, в ряде случаев допускается их эксплуатация:</w:t>
      </w:r>
    </w:p>
    <w:p w:rsidR="00000000" w:rsidRPr="00B371FC" w:rsidRDefault="00485FCD" w:rsidP="00485FCD">
      <w:pPr>
        <w:numPr>
          <w:ilvl w:val="0"/>
          <w:numId w:val="3"/>
        </w:numPr>
        <w:spacing w:line="240" w:lineRule="auto"/>
        <w:jc w:val="both"/>
      </w:pPr>
      <w:r w:rsidRPr="00B371FC">
        <w:t>без регистрации в качестве ОПО;</w:t>
      </w:r>
    </w:p>
    <w:p w:rsidR="00000000" w:rsidRPr="00B371FC" w:rsidRDefault="00485FCD" w:rsidP="00485FCD">
      <w:pPr>
        <w:numPr>
          <w:ilvl w:val="0"/>
          <w:numId w:val="3"/>
        </w:numPr>
        <w:spacing w:line="240" w:lineRule="auto"/>
        <w:jc w:val="both"/>
      </w:pPr>
      <w:r w:rsidRPr="00B371FC">
        <w:t>без постановки на учет в органах Ростехнадзора;</w:t>
      </w:r>
    </w:p>
    <w:p w:rsidR="00000000" w:rsidRPr="00B371FC" w:rsidRDefault="00485FCD" w:rsidP="00485FCD">
      <w:pPr>
        <w:numPr>
          <w:ilvl w:val="0"/>
          <w:numId w:val="3"/>
        </w:numPr>
        <w:spacing w:line="240" w:lineRule="auto"/>
        <w:jc w:val="both"/>
      </w:pPr>
      <w:r w:rsidRPr="00B371FC">
        <w:t xml:space="preserve">без назначения </w:t>
      </w:r>
      <w:r w:rsidR="00207BAD">
        <w:t>ответственных инженерно-технических работников</w:t>
      </w:r>
      <w:r w:rsidRPr="00B371FC">
        <w:t>;</w:t>
      </w:r>
    </w:p>
    <w:p w:rsidR="00000000" w:rsidRPr="00B371FC" w:rsidRDefault="00485FCD" w:rsidP="00485FCD">
      <w:pPr>
        <w:numPr>
          <w:ilvl w:val="0"/>
          <w:numId w:val="3"/>
        </w:numPr>
        <w:spacing w:line="240" w:lineRule="auto"/>
        <w:jc w:val="both"/>
      </w:pPr>
      <w:r w:rsidRPr="00B371FC">
        <w:t>без назначени</w:t>
      </w:r>
      <w:r w:rsidRPr="00B371FC">
        <w:t>я к управлению и обслуживанию обученного персонала;</w:t>
      </w:r>
    </w:p>
    <w:p w:rsidR="00B371FC" w:rsidRDefault="00485FCD" w:rsidP="00485FCD">
      <w:pPr>
        <w:numPr>
          <w:ilvl w:val="0"/>
          <w:numId w:val="3"/>
        </w:numPr>
        <w:spacing w:line="240" w:lineRule="auto"/>
        <w:jc w:val="both"/>
      </w:pPr>
      <w:r w:rsidRPr="00B371FC">
        <w:t xml:space="preserve">без разработки </w:t>
      </w:r>
      <w:r w:rsidR="00207BAD">
        <w:t>проектов производства работ</w:t>
      </w:r>
      <w:r w:rsidRPr="00B371FC">
        <w:t xml:space="preserve">, </w:t>
      </w:r>
      <w:r w:rsidR="00207BAD">
        <w:t>технологических карт</w:t>
      </w:r>
      <w:r w:rsidRPr="00B371FC">
        <w:t>, схем строповки и другой документации</w:t>
      </w:r>
      <w:r w:rsidR="00207BAD">
        <w:t xml:space="preserve">, обязательной при </w:t>
      </w:r>
      <w:r w:rsidRPr="00B371FC">
        <w:t>проведени</w:t>
      </w:r>
      <w:r w:rsidR="00207BAD">
        <w:t>и</w:t>
      </w:r>
      <w:r w:rsidRPr="00B371FC">
        <w:t xml:space="preserve"> работ</w:t>
      </w:r>
      <w:r w:rsidR="00B371FC">
        <w:t>.</w:t>
      </w:r>
    </w:p>
    <w:p w:rsidR="00B371FC" w:rsidRDefault="00741038" w:rsidP="00485FCD">
      <w:pPr>
        <w:spacing w:line="240" w:lineRule="auto"/>
        <w:jc w:val="both"/>
      </w:pPr>
      <w:r w:rsidRPr="00B371FC">
        <w:lastRenderedPageBreak/>
        <w:t>Федеральны</w:t>
      </w:r>
      <w:r>
        <w:t>м</w:t>
      </w:r>
      <w:r w:rsidRPr="00B371FC">
        <w:t xml:space="preserve"> закон</w:t>
      </w:r>
      <w:r>
        <w:t>ом</w:t>
      </w:r>
      <w:r w:rsidRPr="00B371FC">
        <w:t xml:space="preserve"> от 21 июля 1997 г. № 116-ФЗ</w:t>
      </w:r>
      <w:r>
        <w:t xml:space="preserve"> установлено, что к</w:t>
      </w:r>
      <w:r>
        <w:t xml:space="preserve"> категории </w:t>
      </w:r>
      <w:r>
        <w:t xml:space="preserve">ОПО </w:t>
      </w:r>
      <w:r>
        <w:t>относятся объекты, на которых</w:t>
      </w:r>
      <w:r>
        <w:t xml:space="preserve">, в том числе </w:t>
      </w:r>
      <w:r>
        <w:t>используются стационарно установленные грузоподъемные механизмы (за исключением лифтов, подъемных платформ для инвалидов), эскалаторы в метрополитенах, канатные дороги, фуникулеры</w:t>
      </w:r>
      <w:r>
        <w:t>. ОПО</w:t>
      </w:r>
      <w:r w:rsidRPr="00741038">
        <w:t xml:space="preserve"> подлежат регистрации в государственном реестре в порядке,</w:t>
      </w:r>
      <w:r>
        <w:t xml:space="preserve"> </w:t>
      </w:r>
      <w:r w:rsidRPr="00741038">
        <w:t>устанавливаемом Правительством Российской Федерации.</w:t>
      </w:r>
    </w:p>
    <w:p w:rsidR="00741038" w:rsidRDefault="00481873" w:rsidP="00485FCD">
      <w:pPr>
        <w:spacing w:line="240" w:lineRule="auto"/>
        <w:jc w:val="both"/>
      </w:pPr>
      <w:r>
        <w:t xml:space="preserve">В соответствии со статьей 9 </w:t>
      </w:r>
      <w:r w:rsidRPr="00B371FC">
        <w:t>Федеральн</w:t>
      </w:r>
      <w:r>
        <w:t>ого</w:t>
      </w:r>
      <w:r w:rsidRPr="00B371FC">
        <w:t xml:space="preserve"> закон</w:t>
      </w:r>
      <w:r>
        <w:t>а</w:t>
      </w:r>
      <w:r w:rsidRPr="00B371FC">
        <w:t xml:space="preserve"> от 21 июля 1997 г. № 116-ФЗ</w:t>
      </w:r>
      <w:r>
        <w:t xml:space="preserve"> одним из требований </w:t>
      </w:r>
      <w:r w:rsidRPr="00481873">
        <w:t xml:space="preserve">промышленной безопасности к эксплуатации </w:t>
      </w:r>
      <w:r>
        <w:t>ОПО является обязанность о</w:t>
      </w:r>
      <w:r w:rsidRPr="00481873">
        <w:t>рганизаци</w:t>
      </w:r>
      <w:r>
        <w:t>и</w:t>
      </w:r>
      <w:r w:rsidRPr="00481873">
        <w:t>, эксплуатирующ</w:t>
      </w:r>
      <w:r>
        <w:t>ей</w:t>
      </w:r>
      <w:r w:rsidRPr="00481873">
        <w:t xml:space="preserve"> </w:t>
      </w:r>
      <w:r>
        <w:t xml:space="preserve">ОПО, </w:t>
      </w:r>
      <w:r w:rsidRPr="00481873">
        <w:t xml:space="preserve">предотвращать проникновение на </w:t>
      </w:r>
      <w:r>
        <w:t>ОПО</w:t>
      </w:r>
      <w:r w:rsidRPr="00481873">
        <w:t xml:space="preserve"> посторонних лиц</w:t>
      </w:r>
      <w:r>
        <w:t>.</w:t>
      </w:r>
    </w:p>
    <w:p w:rsidR="00481873" w:rsidRDefault="00481873" w:rsidP="00485FCD">
      <w:pPr>
        <w:spacing w:line="240" w:lineRule="auto"/>
        <w:jc w:val="both"/>
      </w:pPr>
      <w:r w:rsidRPr="00481873">
        <w:t>Требования</w:t>
      </w:r>
      <w:r>
        <w:t>ми</w:t>
      </w:r>
      <w:r w:rsidRPr="00481873">
        <w:t xml:space="preserve"> к регистрации объектов в государственном реестре </w:t>
      </w:r>
      <w:r>
        <w:t>ОПО</w:t>
      </w:r>
      <w:r w:rsidRPr="00481873">
        <w:t xml:space="preserve"> и ведению государственного реестра </w:t>
      </w:r>
      <w:r>
        <w:t xml:space="preserve">ОПО, утвержденных </w:t>
      </w:r>
      <w:r w:rsidRPr="00481873">
        <w:t>приказ</w:t>
      </w:r>
      <w:r>
        <w:t>ом</w:t>
      </w:r>
      <w:r w:rsidRPr="00481873">
        <w:t xml:space="preserve"> Ростехнадзора от 30</w:t>
      </w:r>
      <w:r>
        <w:t xml:space="preserve"> ноября </w:t>
      </w:r>
      <w:r w:rsidRPr="00481873">
        <w:t>2020</w:t>
      </w:r>
      <w:r>
        <w:t xml:space="preserve"> г. </w:t>
      </w:r>
      <w:r w:rsidRPr="00481873">
        <w:t xml:space="preserve"> № 471</w:t>
      </w:r>
      <w:r>
        <w:t xml:space="preserve"> (далее – Требования к регистрации), установлено, что п</w:t>
      </w:r>
      <w:r>
        <w:t xml:space="preserve">ри проведении идентификации </w:t>
      </w:r>
      <w:r>
        <w:t xml:space="preserve">ОПО </w:t>
      </w:r>
      <w:r>
        <w:t xml:space="preserve">необходимо учитывать, что </w:t>
      </w:r>
      <w:r>
        <w:t>ОПО</w:t>
      </w:r>
      <w:r>
        <w:t xml:space="preserve"> не является отдельный механизм, оборудование (техническое устройство). </w:t>
      </w:r>
      <w:r>
        <w:t>ОПО</w:t>
      </w:r>
      <w:r>
        <w:t xml:space="preserve"> является определенная площадка производства, на которой при осуществлении определенного вида деятельности применяется то или иное техническое устройство</w:t>
      </w:r>
      <w:r>
        <w:t>.</w:t>
      </w:r>
    </w:p>
    <w:p w:rsidR="00481873" w:rsidRDefault="00481873" w:rsidP="00485FCD">
      <w:pPr>
        <w:spacing w:line="240" w:lineRule="auto"/>
        <w:jc w:val="both"/>
      </w:pPr>
      <w:r>
        <w:t>Приложением № 1 к Требованиям к регистрации определено, что д</w:t>
      </w:r>
      <w:r>
        <w:t xml:space="preserve">ля ОПО, </w:t>
      </w:r>
      <w:proofErr w:type="gramStart"/>
      <w:r>
        <w:t>использующих</w:t>
      </w:r>
      <w:proofErr w:type="gramEnd"/>
      <w:r>
        <w:t xml:space="preserve"> стационарно установленные грузоподъемные механизмы, эскалаторы, канатные дороги и фуникулеры,</w:t>
      </w:r>
      <w:r>
        <w:t xml:space="preserve"> </w:t>
      </w:r>
      <w:r>
        <w:t>границами объекта являются границы опасной зоны</w:t>
      </w:r>
      <w:r>
        <w:t>.</w:t>
      </w:r>
    </w:p>
    <w:p w:rsidR="00481873" w:rsidRDefault="00A45F41" w:rsidP="00485FCD">
      <w:pPr>
        <w:spacing w:line="240" w:lineRule="auto"/>
        <w:jc w:val="both"/>
      </w:pPr>
      <w:r>
        <w:t xml:space="preserve">Требования к эксплуатации ПС установлены </w:t>
      </w:r>
      <w:r w:rsidR="00481873" w:rsidRPr="00481873">
        <w:t>Федеральными нормами и правилами</w:t>
      </w:r>
      <w:r w:rsidR="00481873">
        <w:t xml:space="preserve"> </w:t>
      </w:r>
      <w:r w:rsidR="00481873" w:rsidRPr="00481873">
        <w:t>в области промышленной безопасности «Правила безопасности опасных производственных объектов, на которых используются подъемные сооружения»</w:t>
      </w:r>
      <w:r w:rsidR="00481873">
        <w:t>, у</w:t>
      </w:r>
      <w:r w:rsidR="00481873" w:rsidRPr="00481873">
        <w:t>твержден</w:t>
      </w:r>
      <w:r>
        <w:t>н</w:t>
      </w:r>
      <w:r w:rsidR="00481873" w:rsidRPr="00481873">
        <w:t>ы</w:t>
      </w:r>
      <w:r>
        <w:t>ми</w:t>
      </w:r>
      <w:r w:rsidR="00481873" w:rsidRPr="00481873">
        <w:t xml:space="preserve"> приказом Ростехнадзора от 26 ноября 2020 г. № 461</w:t>
      </w:r>
      <w:r>
        <w:t xml:space="preserve"> (далее – ФНП).</w:t>
      </w:r>
    </w:p>
    <w:p w:rsidR="00A45F41" w:rsidRPr="00A45F41" w:rsidRDefault="00A45F41" w:rsidP="00485FCD">
      <w:pPr>
        <w:spacing w:line="240" w:lineRule="auto"/>
        <w:jc w:val="both"/>
      </w:pPr>
      <w:r>
        <w:t xml:space="preserve">Одним из требований, установленных ФНП (подпункт «и» пункта 22) в </w:t>
      </w:r>
      <w:r w:rsidRPr="009E5690">
        <w:t>части назначения инженерно-технических работников установлено, что организация (индивидуальный предприниматель), эксплуатирующая ОПО с ПС</w:t>
      </w:r>
      <w:r w:rsidR="009E5690" w:rsidRPr="009E5690">
        <w:t xml:space="preserve"> (далее – эксплуатирующая организация)</w:t>
      </w:r>
      <w:r w:rsidRPr="009E5690">
        <w:t>, должна</w:t>
      </w:r>
      <w:r w:rsidRPr="00A45F41">
        <w:t xml:space="preserve"> разработать и утвердить внутренним распорядительным актом поименный перечень лиц, ответственных за промышленную безопасность в организации </w:t>
      </w:r>
      <w:r w:rsidRPr="00A45F41">
        <w:rPr>
          <w:bCs/>
          <w:iCs/>
        </w:rPr>
        <w:t>из числа ее аттестованных инженерно-технических работников</w:t>
      </w:r>
      <w:r w:rsidRPr="00A45F41">
        <w:t>:</w:t>
      </w:r>
    </w:p>
    <w:p w:rsidR="00000000" w:rsidRPr="00A45F41" w:rsidRDefault="00485FCD" w:rsidP="00485FCD">
      <w:pPr>
        <w:numPr>
          <w:ilvl w:val="0"/>
          <w:numId w:val="4"/>
        </w:numPr>
        <w:spacing w:line="240" w:lineRule="auto"/>
        <w:jc w:val="both"/>
      </w:pPr>
      <w:proofErr w:type="gramStart"/>
      <w:r w:rsidRPr="00A45F41">
        <w:t>ответственный</w:t>
      </w:r>
      <w:proofErr w:type="gramEnd"/>
      <w:r w:rsidRPr="00A45F41">
        <w:t xml:space="preserve"> за осуществление производственного контроля при эксплуатации ПС;</w:t>
      </w:r>
    </w:p>
    <w:p w:rsidR="00000000" w:rsidRPr="00A45F41" w:rsidRDefault="00485FCD" w:rsidP="00485FCD">
      <w:pPr>
        <w:numPr>
          <w:ilvl w:val="0"/>
          <w:numId w:val="4"/>
        </w:numPr>
        <w:spacing w:line="240" w:lineRule="auto"/>
        <w:jc w:val="both"/>
      </w:pPr>
      <w:proofErr w:type="gramStart"/>
      <w:r w:rsidRPr="00A45F41">
        <w:t>ответственный</w:t>
      </w:r>
      <w:proofErr w:type="gramEnd"/>
      <w:r w:rsidRPr="00A45F41">
        <w:t xml:space="preserve"> за содержание ПС в работоспособном состоянии;</w:t>
      </w:r>
    </w:p>
    <w:p w:rsidR="00000000" w:rsidRPr="00A45F41" w:rsidRDefault="00485FCD" w:rsidP="00485FCD">
      <w:pPr>
        <w:numPr>
          <w:ilvl w:val="0"/>
          <w:numId w:val="4"/>
        </w:numPr>
        <w:spacing w:line="240" w:lineRule="auto"/>
        <w:jc w:val="both"/>
      </w:pPr>
      <w:proofErr w:type="gramStart"/>
      <w:r w:rsidRPr="00A45F41">
        <w:t>ответственный</w:t>
      </w:r>
      <w:proofErr w:type="gramEnd"/>
      <w:r w:rsidRPr="00A45F41">
        <w:t xml:space="preserve"> за безопасное производство работ с применением ПС</w:t>
      </w:r>
      <w:r w:rsidR="00A45F41">
        <w:t>.</w:t>
      </w:r>
    </w:p>
    <w:p w:rsidR="00A45F41" w:rsidRDefault="00A45F41" w:rsidP="00485FCD">
      <w:pPr>
        <w:spacing w:line="240" w:lineRule="auto"/>
        <w:jc w:val="both"/>
      </w:pPr>
      <w:r>
        <w:t>В части назначения персонала ФНП установлено (пункт 155), что д</w:t>
      </w:r>
      <w:r>
        <w:t>ля управления ПС и их обслуживания эксплуатирующая организация обязана назначить внутренним распорядительным актом</w:t>
      </w:r>
      <w:r>
        <w:t>:</w:t>
      </w:r>
      <w:r>
        <w:t xml:space="preserve"> </w:t>
      </w:r>
    </w:p>
    <w:p w:rsidR="00A45F41" w:rsidRDefault="00A45F41" w:rsidP="00485FCD">
      <w:pPr>
        <w:numPr>
          <w:ilvl w:val="0"/>
          <w:numId w:val="4"/>
        </w:numPr>
        <w:spacing w:line="240" w:lineRule="auto"/>
        <w:jc w:val="both"/>
      </w:pPr>
      <w:r>
        <w:t>машинистов подъемников</w:t>
      </w:r>
      <w:r>
        <w:t>;</w:t>
      </w:r>
    </w:p>
    <w:p w:rsidR="00A45F41" w:rsidRDefault="00A45F41" w:rsidP="00485FCD">
      <w:pPr>
        <w:numPr>
          <w:ilvl w:val="0"/>
          <w:numId w:val="4"/>
        </w:numPr>
        <w:spacing w:line="240" w:lineRule="auto"/>
        <w:jc w:val="both"/>
      </w:pPr>
      <w:r>
        <w:t>крановщиков (операторов), их помощников</w:t>
      </w:r>
      <w:r>
        <w:t>;</w:t>
      </w:r>
    </w:p>
    <w:p w:rsidR="00A45F41" w:rsidRDefault="00A45F41" w:rsidP="00485FCD">
      <w:pPr>
        <w:numPr>
          <w:ilvl w:val="0"/>
          <w:numId w:val="4"/>
        </w:numPr>
        <w:spacing w:line="240" w:lineRule="auto"/>
        <w:jc w:val="both"/>
      </w:pPr>
      <w:r>
        <w:t>стропальщиков</w:t>
      </w:r>
      <w:r>
        <w:t>;</w:t>
      </w:r>
    </w:p>
    <w:p w:rsidR="00A45F41" w:rsidRDefault="00A45F41" w:rsidP="00485FCD">
      <w:pPr>
        <w:numPr>
          <w:ilvl w:val="0"/>
          <w:numId w:val="4"/>
        </w:numPr>
        <w:spacing w:line="240" w:lineRule="auto"/>
        <w:jc w:val="both"/>
      </w:pPr>
      <w:r>
        <w:lastRenderedPageBreak/>
        <w:t>слесарей</w:t>
      </w:r>
      <w:r>
        <w:t>;</w:t>
      </w:r>
    </w:p>
    <w:p w:rsidR="00A45F41" w:rsidRDefault="00A45F41" w:rsidP="00485FCD">
      <w:pPr>
        <w:numPr>
          <w:ilvl w:val="0"/>
          <w:numId w:val="4"/>
        </w:numPr>
        <w:spacing w:line="240" w:lineRule="auto"/>
        <w:jc w:val="both"/>
      </w:pPr>
      <w:r>
        <w:t>электромонтеров</w:t>
      </w:r>
      <w:r>
        <w:t>;</w:t>
      </w:r>
    </w:p>
    <w:p w:rsidR="00A45F41" w:rsidRDefault="00A45F41" w:rsidP="00485FCD">
      <w:pPr>
        <w:numPr>
          <w:ilvl w:val="0"/>
          <w:numId w:val="4"/>
        </w:numPr>
        <w:spacing w:line="240" w:lineRule="auto"/>
        <w:jc w:val="both"/>
      </w:pPr>
      <w:r>
        <w:t>рабочих люльки</w:t>
      </w:r>
      <w:r>
        <w:t>;</w:t>
      </w:r>
    </w:p>
    <w:p w:rsidR="00A45F41" w:rsidRPr="00481873" w:rsidRDefault="00A45F41" w:rsidP="00485FCD">
      <w:pPr>
        <w:numPr>
          <w:ilvl w:val="0"/>
          <w:numId w:val="4"/>
        </w:numPr>
        <w:spacing w:line="240" w:lineRule="auto"/>
        <w:jc w:val="both"/>
      </w:pPr>
      <w:r>
        <w:t>наладчиков (кроме наладчиков привлекаемых специализированных организаций)</w:t>
      </w:r>
      <w:r>
        <w:t>.</w:t>
      </w:r>
    </w:p>
    <w:p w:rsidR="00A45F41" w:rsidRDefault="00A45F41" w:rsidP="00485FCD">
      <w:pPr>
        <w:spacing w:line="240" w:lineRule="auto"/>
        <w:jc w:val="both"/>
      </w:pPr>
      <w:r>
        <w:t xml:space="preserve">Ранее действующими </w:t>
      </w:r>
      <w:r w:rsidRPr="00A45F41">
        <w:t>Правила</w:t>
      </w:r>
      <w:r>
        <w:t>ми</w:t>
      </w:r>
      <w:r w:rsidRPr="00A45F41">
        <w:t xml:space="preserve"> устройства и безопасной эксплуатации</w:t>
      </w:r>
      <w:r>
        <w:t xml:space="preserve">, в том числе </w:t>
      </w:r>
      <w:r w:rsidRPr="00A45F41">
        <w:t>грузоподъемных кранов, кранов-манипуляторов, подъемников (вышек), предусматривал</w:t>
      </w:r>
      <w:r>
        <w:t>ось</w:t>
      </w:r>
      <w:r w:rsidRPr="00A45F41">
        <w:t xml:space="preserve"> проведение работ владельцем ПС и производителем работ</w:t>
      </w:r>
      <w:r w:rsidR="00430237">
        <w:t>. Обязанностью производителя работ являлось назначение</w:t>
      </w:r>
      <w:r w:rsidR="009E5690">
        <w:t>, в том числе</w:t>
      </w:r>
      <w:r w:rsidR="00430237">
        <w:t xml:space="preserve"> ответственных за безопасное производство работ ПС, а также стропальщиков и рабочих люльки.</w:t>
      </w:r>
    </w:p>
    <w:p w:rsidR="00430237" w:rsidRPr="00A45F41" w:rsidRDefault="00430237" w:rsidP="00485FCD">
      <w:pPr>
        <w:spacing w:line="240" w:lineRule="auto"/>
        <w:jc w:val="both"/>
      </w:pPr>
      <w:r>
        <w:t>Однако с 7 марта 2014 г. со вступлением в действие ФНП</w:t>
      </w:r>
      <w:r w:rsidR="00202242">
        <w:t xml:space="preserve"> указанные </w:t>
      </w:r>
      <w:r w:rsidR="00202242" w:rsidRPr="00A45F41">
        <w:t>Правила устройства и безопасной эксплуатации</w:t>
      </w:r>
      <w:r w:rsidR="00202242">
        <w:t xml:space="preserve"> отменены, а в ФНП понятие «производитель работ» не включено. С введением ФНП при </w:t>
      </w:r>
      <w:r w:rsidR="00202242" w:rsidRPr="00A45F41">
        <w:t>проведени</w:t>
      </w:r>
      <w:r w:rsidR="00202242">
        <w:t>и</w:t>
      </w:r>
      <w:r w:rsidR="00202242" w:rsidRPr="00A45F41">
        <w:t xml:space="preserve"> работ</w:t>
      </w:r>
      <w:r w:rsidR="00202242">
        <w:t xml:space="preserve"> ПС обязанность по назначению инженерно-технических работников и персонала для управления и обслуживания ПС возлагается </w:t>
      </w:r>
      <w:r w:rsidR="00D33062">
        <w:t>только на эксплуатирующую организацию, исключив при этом возможность допуска к ПС работ</w:t>
      </w:r>
      <w:r w:rsidR="009E5690">
        <w:t>ников сторонних организаций, в том числе к руководству работ с применением ПС, строповке грузов и нахождению в люльке подъемника.</w:t>
      </w:r>
    </w:p>
    <w:p w:rsidR="00A45F41" w:rsidRPr="00A45F41" w:rsidRDefault="00D33062" w:rsidP="00485FCD">
      <w:pPr>
        <w:spacing w:line="240" w:lineRule="auto"/>
        <w:jc w:val="both"/>
      </w:pPr>
      <w:r>
        <w:t>Кроме того, пунктом 122 ФНП установлено, что в обязанности э</w:t>
      </w:r>
      <w:r>
        <w:t>ксплуатирующ</w:t>
      </w:r>
      <w:r>
        <w:t>ей</w:t>
      </w:r>
      <w:r>
        <w:t xml:space="preserve"> организаци</w:t>
      </w:r>
      <w:r>
        <w:t>и</w:t>
      </w:r>
      <w:r>
        <w:t xml:space="preserve"> </w:t>
      </w:r>
      <w:r>
        <w:t>входит</w:t>
      </w:r>
      <w:r>
        <w:t xml:space="preserve"> обеспеч</w:t>
      </w:r>
      <w:r>
        <w:t>ение</w:t>
      </w:r>
      <w:r>
        <w:t xml:space="preserve"> выполнени</w:t>
      </w:r>
      <w:r>
        <w:t>я</w:t>
      </w:r>
      <w:r>
        <w:t xml:space="preserve"> требо</w:t>
      </w:r>
      <w:r>
        <w:t xml:space="preserve">ваний промышленной безопасности в части </w:t>
      </w:r>
      <w:r>
        <w:t>определ</w:t>
      </w:r>
      <w:r>
        <w:t>ения</w:t>
      </w:r>
      <w:r>
        <w:t xml:space="preserve"> порядк</w:t>
      </w:r>
      <w:r>
        <w:t>а</w:t>
      </w:r>
      <w:r>
        <w:t xml:space="preserve"> выделения и направления ПС на объекты согласно заявкам структурных подразделений и сторонних организаций. При этом ответственность за обеспечение требований промышленной безопасности при работе ПС несет организация, выделившая ПС для работ.</w:t>
      </w:r>
    </w:p>
    <w:p w:rsidR="00AB510D" w:rsidRDefault="00AB510D" w:rsidP="00485FCD">
      <w:pPr>
        <w:spacing w:line="240" w:lineRule="auto"/>
        <w:jc w:val="both"/>
      </w:pPr>
      <w:r w:rsidRPr="00AB510D">
        <w:t>Технически</w:t>
      </w:r>
      <w:r>
        <w:t>м</w:t>
      </w:r>
      <w:r w:rsidRPr="00AB510D">
        <w:t xml:space="preserve"> регламент</w:t>
      </w:r>
      <w:r>
        <w:t>ом</w:t>
      </w:r>
      <w:r w:rsidRPr="00AB510D">
        <w:t xml:space="preserve"> Таможенного союза </w:t>
      </w:r>
      <w:proofErr w:type="gramStart"/>
      <w:r w:rsidRPr="00AB510D">
        <w:t>ТР</w:t>
      </w:r>
      <w:proofErr w:type="gramEnd"/>
      <w:r w:rsidRPr="00AB510D">
        <w:t xml:space="preserve"> ТС 010/2011</w:t>
      </w:r>
      <w:r>
        <w:t xml:space="preserve"> </w:t>
      </w:r>
      <w:r w:rsidRPr="00AB510D">
        <w:t>«О безопасности машин и оборудования»</w:t>
      </w:r>
      <w:r w:rsidR="009E5690">
        <w:t>, утвержденным Решением Комиссии Таможенного союза от 18 октября 2011 г. № 823 (далее – Технический регламент),</w:t>
      </w:r>
      <w:r>
        <w:t xml:space="preserve"> установлено, что ПС </w:t>
      </w:r>
      <w:r w:rsidRPr="00AB510D">
        <w:t xml:space="preserve">подлежат подтверждению соответствия требованиям </w:t>
      </w:r>
      <w:r w:rsidR="009E5690">
        <w:t>Т</w:t>
      </w:r>
      <w:r w:rsidRPr="00AB510D">
        <w:t>ехнического регламента</w:t>
      </w:r>
      <w:r>
        <w:t xml:space="preserve"> </w:t>
      </w:r>
      <w:r w:rsidRPr="00AB510D">
        <w:t>в форме сертификации</w:t>
      </w:r>
      <w:r>
        <w:t xml:space="preserve">, а приспособления для грузоподъемных операций в форме декларирования соответствия </w:t>
      </w:r>
      <w:r w:rsidRPr="00AB510D">
        <w:t>(статья 8, приложение № 3)</w:t>
      </w:r>
      <w:r>
        <w:t>.</w:t>
      </w:r>
    </w:p>
    <w:p w:rsidR="00AB510D" w:rsidRDefault="00AB510D" w:rsidP="00485FCD">
      <w:pPr>
        <w:spacing w:line="240" w:lineRule="auto"/>
        <w:jc w:val="both"/>
      </w:pPr>
      <w:r>
        <w:t>Вместе с этим ПС, изготовленные после 15 марта 2015 г.</w:t>
      </w:r>
      <w:r w:rsidR="00511328">
        <w:t>,</w:t>
      </w:r>
      <w:r>
        <w:t xml:space="preserve"> должны пройти подтверждение соответствия в форме сертификации соответствия требованиям </w:t>
      </w:r>
      <w:r w:rsidR="009E5690">
        <w:t>Т</w:t>
      </w:r>
      <w:r w:rsidRPr="00AB510D">
        <w:t>ехническ</w:t>
      </w:r>
      <w:r>
        <w:t>ого</w:t>
      </w:r>
      <w:r w:rsidRPr="00AB510D">
        <w:t xml:space="preserve"> регламент</w:t>
      </w:r>
      <w:r>
        <w:t>а</w:t>
      </w:r>
      <w:r w:rsidRPr="00AB510D">
        <w:t xml:space="preserve"> </w:t>
      </w:r>
      <w:r>
        <w:t xml:space="preserve">и </w:t>
      </w:r>
      <w:r w:rsidR="00511328">
        <w:t>снабжаться обоснованием безопасности (копией), разработанным при проектировании ПС.</w:t>
      </w:r>
    </w:p>
    <w:p w:rsidR="009E5690" w:rsidRDefault="009E5690" w:rsidP="00485FCD">
      <w:pPr>
        <w:spacing w:line="240" w:lineRule="auto"/>
        <w:jc w:val="both"/>
      </w:pPr>
      <w:r>
        <w:t>В соответствии с требованиями пункта 251 ФНП э</w:t>
      </w:r>
      <w:r w:rsidRPr="00B20942">
        <w:t>ксплуатирующая организация не должна допускать ПС в работу</w:t>
      </w:r>
      <w:r>
        <w:t xml:space="preserve"> при отсутствии паспорта ПС, руководства (инструкции) по эксплуатации и </w:t>
      </w:r>
      <w:r w:rsidRPr="00E41E09">
        <w:t>сведени</w:t>
      </w:r>
      <w:r>
        <w:t>й</w:t>
      </w:r>
      <w:r w:rsidRPr="00E41E09">
        <w:t xml:space="preserve"> о постановке ПС на учет</w:t>
      </w:r>
      <w:r>
        <w:t xml:space="preserve"> в органах Федеральной службе по экологическому, технологическому и атомному надзору.</w:t>
      </w:r>
    </w:p>
    <w:p w:rsidR="00B371FC" w:rsidRDefault="00B20942" w:rsidP="00485FCD">
      <w:pPr>
        <w:spacing w:line="240" w:lineRule="auto"/>
        <w:jc w:val="both"/>
      </w:pPr>
      <w:r>
        <w:t xml:space="preserve">Одним из требований ФНП (подпункт «б» пункта 22) является обязанность эксплуатирующей организации </w:t>
      </w:r>
      <w:r w:rsidRPr="00B20942">
        <w:t xml:space="preserve">соблюдать требования руководств </w:t>
      </w:r>
      <w:r w:rsidRPr="00B20942">
        <w:lastRenderedPageBreak/>
        <w:t>(инструкций) по эксплуатации имеющихся в наличии ПС</w:t>
      </w:r>
      <w:r>
        <w:t xml:space="preserve"> и </w:t>
      </w:r>
      <w:r w:rsidRPr="00B20942">
        <w:t>не нарушать требования, изложенные в паспорте и руководстве (инструкции) по эксплуатации ПС (грузоподъемность или грузовой момент, группу классификации режима и другие паспортные режимы эксплуатации)</w:t>
      </w:r>
      <w:r>
        <w:t>.</w:t>
      </w:r>
      <w:r w:rsidR="00FE2A88">
        <w:t xml:space="preserve"> Данное требование распространяется на все ПС, в том числе и на краны-манипуляторы. В том случае, если изготовителем крана-манипулятора в эксплуатационной документации (паспорт, руководство (инструкция) по эксплуатации) не предусмотрена возможность подъема людей, применять кран-манипулятор для подъема людей в самовольно установленных люльках не допускается.</w:t>
      </w:r>
    </w:p>
    <w:sectPr w:rsidR="00B371FC" w:rsidSect="00485FCD">
      <w:headerReference w:type="default" r:id="rId8"/>
      <w:pgSz w:w="11906" w:h="16838"/>
      <w:pgMar w:top="1134" w:right="73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A88" w:rsidRDefault="00FE2A88" w:rsidP="00FE2A88">
      <w:pPr>
        <w:spacing w:line="240" w:lineRule="auto"/>
      </w:pPr>
      <w:r>
        <w:separator/>
      </w:r>
    </w:p>
  </w:endnote>
  <w:endnote w:type="continuationSeparator" w:id="0">
    <w:p w:rsidR="00FE2A88" w:rsidRDefault="00FE2A88" w:rsidP="00FE2A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A88" w:rsidRDefault="00FE2A88" w:rsidP="00FE2A88">
      <w:pPr>
        <w:spacing w:line="240" w:lineRule="auto"/>
      </w:pPr>
      <w:r>
        <w:separator/>
      </w:r>
    </w:p>
  </w:footnote>
  <w:footnote w:type="continuationSeparator" w:id="0">
    <w:p w:rsidR="00FE2A88" w:rsidRDefault="00FE2A88" w:rsidP="00FE2A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75667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FE2A88" w:rsidRPr="00FE2A88" w:rsidRDefault="00FE2A88" w:rsidP="00FE2A88">
        <w:pPr>
          <w:pStyle w:val="a5"/>
          <w:jc w:val="center"/>
          <w:rPr>
            <w:sz w:val="24"/>
          </w:rPr>
        </w:pPr>
        <w:r w:rsidRPr="00FE2A88">
          <w:rPr>
            <w:sz w:val="24"/>
          </w:rPr>
          <w:fldChar w:fldCharType="begin"/>
        </w:r>
        <w:r w:rsidRPr="00FE2A88">
          <w:rPr>
            <w:sz w:val="24"/>
          </w:rPr>
          <w:instrText>PAGE   \* MERGEFORMAT</w:instrText>
        </w:r>
        <w:r w:rsidRPr="00FE2A88">
          <w:rPr>
            <w:sz w:val="24"/>
          </w:rPr>
          <w:fldChar w:fldCharType="separate"/>
        </w:r>
        <w:r w:rsidR="00485FCD">
          <w:rPr>
            <w:noProof/>
            <w:sz w:val="24"/>
          </w:rPr>
          <w:t>3</w:t>
        </w:r>
        <w:r w:rsidRPr="00FE2A88">
          <w:rPr>
            <w:sz w:val="24"/>
          </w:rPr>
          <w:fldChar w:fldCharType="end"/>
        </w:r>
      </w:p>
    </w:sdtContent>
  </w:sdt>
  <w:p w:rsidR="00FE2A88" w:rsidRDefault="00FE2A8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7832"/>
    <w:multiLevelType w:val="hybridMultilevel"/>
    <w:tmpl w:val="D158DC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B33590"/>
    <w:multiLevelType w:val="hybridMultilevel"/>
    <w:tmpl w:val="4B9AAB66"/>
    <w:lvl w:ilvl="0" w:tplc="DC9870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4C5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005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1282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1C0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CAD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AAA9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F274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9E19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C8B40A6"/>
    <w:multiLevelType w:val="hybridMultilevel"/>
    <w:tmpl w:val="B2EC9088"/>
    <w:lvl w:ilvl="0" w:tplc="3E523F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C0E9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3A4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66B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32D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905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0C18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06F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8C86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F0F3267"/>
    <w:multiLevelType w:val="hybridMultilevel"/>
    <w:tmpl w:val="BBDEB7F6"/>
    <w:lvl w:ilvl="0" w:tplc="CAEE80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9612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C881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E00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C1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9C57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8ECC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D014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4828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0E15D03"/>
    <w:multiLevelType w:val="hybridMultilevel"/>
    <w:tmpl w:val="F5F6A1C6"/>
    <w:lvl w:ilvl="0" w:tplc="92F8C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E2D7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FEC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4050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8E42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72F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289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610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905C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C88"/>
    <w:rsid w:val="00043076"/>
    <w:rsid w:val="00202242"/>
    <w:rsid w:val="00207BAD"/>
    <w:rsid w:val="00430237"/>
    <w:rsid w:val="00481873"/>
    <w:rsid w:val="00485FCD"/>
    <w:rsid w:val="00511328"/>
    <w:rsid w:val="00741038"/>
    <w:rsid w:val="0090665A"/>
    <w:rsid w:val="009E5690"/>
    <w:rsid w:val="00A45F41"/>
    <w:rsid w:val="00AB510D"/>
    <w:rsid w:val="00B20942"/>
    <w:rsid w:val="00B371FC"/>
    <w:rsid w:val="00BD6C88"/>
    <w:rsid w:val="00D33062"/>
    <w:rsid w:val="00DD596D"/>
    <w:rsid w:val="00E41E09"/>
    <w:rsid w:val="00FE2A88"/>
    <w:rsid w:val="00FE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7D9"/>
    <w:pPr>
      <w:spacing w:after="0" w:line="360" w:lineRule="auto"/>
      <w:ind w:firstLine="709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E37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7D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E37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B371FC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E2A8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2A8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E2A88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2A88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7D9"/>
    <w:pPr>
      <w:spacing w:after="0" w:line="360" w:lineRule="auto"/>
      <w:ind w:firstLine="709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E37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7D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E37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B371FC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E2A8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2A8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E2A88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2A8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3156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394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4281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8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88508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5556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769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9763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6922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703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40113">
          <w:marLeft w:val="198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3356">
          <w:marLeft w:val="198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423">
          <w:marLeft w:val="198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8658">
          <w:marLeft w:val="198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55424">
          <w:marLeft w:val="97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2878">
          <w:marLeft w:val="97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5911">
          <w:marLeft w:val="97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57614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896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9837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7325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5596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826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7127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6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Victor</cp:lastModifiedBy>
  <cp:revision>8</cp:revision>
  <dcterms:created xsi:type="dcterms:W3CDTF">2023-12-23T07:28:00Z</dcterms:created>
  <dcterms:modified xsi:type="dcterms:W3CDTF">2023-12-23T08:59:00Z</dcterms:modified>
</cp:coreProperties>
</file>